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D3CD78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697AE1">
        <w:rPr>
          <w:bCs/>
          <w:noProof w:val="0"/>
          <w:sz w:val="24"/>
          <w:szCs w:val="24"/>
        </w:rPr>
        <w:t>5</w:t>
      </w:r>
      <w:r w:rsidR="00244A05">
        <w:rPr>
          <w:bCs/>
          <w:noProof w:val="0"/>
          <w:sz w:val="24"/>
          <w:szCs w:val="24"/>
        </w:rPr>
        <w:t xml:space="preserve"> Electronic</w:t>
      </w:r>
      <w:r w:rsidRPr="00B266B0">
        <w:rPr>
          <w:bCs/>
          <w:noProof w:val="0"/>
          <w:sz w:val="24"/>
          <w:szCs w:val="24"/>
        </w:rPr>
        <w:tab/>
      </w:r>
      <w:bookmarkStart w:id="0" w:name="_GoBack"/>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0B3CB3">
        <w:rPr>
          <w:bCs/>
          <w:noProof w:val="0"/>
          <w:sz w:val="24"/>
          <w:szCs w:val="24"/>
        </w:rPr>
        <w:t>8472</w:t>
      </w:r>
      <w:bookmarkEnd w:id="0"/>
    </w:p>
    <w:p w14:paraId="11776FA6" w14:textId="35A9FC4A"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0157B8">
        <w:rPr>
          <w:rFonts w:eastAsia="SimSun"/>
          <w:bCs/>
          <w:sz w:val="24"/>
          <w:szCs w:val="24"/>
          <w:lang w:eastAsia="zh-CN"/>
        </w:rPr>
        <w:t>16</w:t>
      </w:r>
      <w:r w:rsidR="006E1057" w:rsidRPr="006E1057">
        <w:rPr>
          <w:rFonts w:eastAsia="SimSun"/>
          <w:bCs/>
          <w:sz w:val="24"/>
          <w:szCs w:val="24"/>
          <w:lang w:eastAsia="zh-CN"/>
        </w:rPr>
        <w:t xml:space="preserve"> – 2</w:t>
      </w:r>
      <w:r w:rsidR="00065268">
        <w:rPr>
          <w:rFonts w:eastAsia="SimSun"/>
          <w:bCs/>
          <w:sz w:val="24"/>
          <w:szCs w:val="24"/>
          <w:lang w:eastAsia="zh-CN"/>
        </w:rPr>
        <w:t>7</w:t>
      </w:r>
      <w:r w:rsidR="006E1057" w:rsidRPr="006E1057">
        <w:rPr>
          <w:rFonts w:eastAsia="SimSun"/>
          <w:bCs/>
          <w:sz w:val="24"/>
          <w:szCs w:val="24"/>
          <w:lang w:eastAsia="zh-CN"/>
        </w:rPr>
        <w:t xml:space="preserve"> </w:t>
      </w:r>
      <w:r w:rsidR="00697AE1">
        <w:rPr>
          <w:rFonts w:eastAsia="SimSun"/>
          <w:bCs/>
          <w:sz w:val="24"/>
          <w:szCs w:val="24"/>
          <w:lang w:eastAsia="zh-CN"/>
        </w:rPr>
        <w:t>August</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4ADB22D" w:rsidR="00A209D6" w:rsidRPr="004962B6"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35BD6">
        <w:rPr>
          <w:rFonts w:cs="Arial"/>
          <w:b/>
          <w:bCs/>
          <w:sz w:val="24"/>
          <w:lang w:eastAsia="ja-JP"/>
        </w:rPr>
        <w:t>8</w:t>
      </w:r>
      <w:r>
        <w:rPr>
          <w:rFonts w:cs="Arial"/>
          <w:b/>
          <w:bCs/>
          <w:sz w:val="24"/>
          <w:lang w:eastAsia="ja-JP"/>
        </w:rPr>
        <w:t>.</w:t>
      </w:r>
      <w:r w:rsidR="00D35BD6">
        <w:rPr>
          <w:rFonts w:cs="Arial"/>
          <w:b/>
          <w:bCs/>
          <w:sz w:val="24"/>
          <w:lang w:eastAsia="ja-JP"/>
        </w:rPr>
        <w:t>15</w:t>
      </w:r>
      <w:r>
        <w:rPr>
          <w:rFonts w:cs="Arial"/>
          <w:b/>
          <w:bCs/>
          <w:sz w:val="24"/>
          <w:lang w:eastAsia="ja-JP"/>
        </w:rPr>
        <w:t>.</w:t>
      </w:r>
      <w:r w:rsidR="004962B6">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75829F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962B6" w:rsidRPr="004962B6">
        <w:rPr>
          <w:rFonts w:ascii="Arial" w:hAnsi="Arial" w:cs="Arial"/>
          <w:b/>
          <w:bCs/>
          <w:sz w:val="24"/>
        </w:rPr>
        <w:t xml:space="preserve">Reduced </w:t>
      </w:r>
      <w:r w:rsidR="004962B6">
        <w:rPr>
          <w:rFonts w:ascii="Arial" w:hAnsi="Arial" w:cs="Arial"/>
          <w:b/>
          <w:bCs/>
          <w:sz w:val="24"/>
        </w:rPr>
        <w:t>m</w:t>
      </w:r>
      <w:r w:rsidR="004962B6" w:rsidRPr="004962B6">
        <w:rPr>
          <w:rFonts w:ascii="Arial" w:hAnsi="Arial" w:cs="Arial"/>
          <w:b/>
          <w:bCs/>
          <w:sz w:val="24"/>
        </w:rPr>
        <w:t xml:space="preserve">onitoring of SL </w:t>
      </w:r>
      <w:r w:rsidR="004962B6">
        <w:rPr>
          <w:rFonts w:ascii="Arial" w:hAnsi="Arial" w:cs="Arial"/>
          <w:b/>
          <w:bCs/>
          <w:sz w:val="24"/>
        </w:rPr>
        <w:t>r</w:t>
      </w:r>
      <w:r w:rsidR="004962B6" w:rsidRPr="004962B6">
        <w:rPr>
          <w:rFonts w:ascii="Arial" w:hAnsi="Arial" w:cs="Arial"/>
          <w:b/>
          <w:bCs/>
          <w:sz w:val="24"/>
        </w:rPr>
        <w:t xml:space="preserve">esource </w:t>
      </w:r>
      <w:r w:rsidR="004962B6">
        <w:rPr>
          <w:rFonts w:ascii="Arial" w:hAnsi="Arial" w:cs="Arial"/>
          <w:b/>
          <w:bCs/>
          <w:sz w:val="24"/>
        </w:rPr>
        <w:t>p</w:t>
      </w:r>
      <w:r w:rsidR="004962B6" w:rsidRPr="004962B6">
        <w:rPr>
          <w:rFonts w:ascii="Arial" w:hAnsi="Arial" w:cs="Arial"/>
          <w:b/>
          <w:bCs/>
          <w:sz w:val="24"/>
        </w:rPr>
        <w:t xml:space="preserve">ools </w:t>
      </w:r>
      <w:r w:rsidR="004962B6">
        <w:rPr>
          <w:rFonts w:ascii="Arial" w:hAnsi="Arial" w:cs="Arial"/>
          <w:b/>
          <w:bCs/>
          <w:sz w:val="24"/>
        </w:rPr>
        <w:t>f</w:t>
      </w:r>
      <w:r w:rsidR="004962B6" w:rsidRPr="004962B6">
        <w:rPr>
          <w:rFonts w:ascii="Arial" w:hAnsi="Arial" w:cs="Arial"/>
          <w:b/>
          <w:bCs/>
          <w:sz w:val="24"/>
        </w:rPr>
        <w:t xml:space="preserve">or </w:t>
      </w:r>
      <w:r w:rsidR="004962B6">
        <w:rPr>
          <w:rFonts w:ascii="Arial" w:hAnsi="Arial" w:cs="Arial"/>
          <w:b/>
          <w:bCs/>
          <w:sz w:val="24"/>
        </w:rPr>
        <w:t>p</w:t>
      </w:r>
      <w:r w:rsidR="004962B6" w:rsidRPr="004962B6">
        <w:rPr>
          <w:rFonts w:ascii="Arial" w:hAnsi="Arial" w:cs="Arial"/>
          <w:b/>
          <w:bCs/>
          <w:sz w:val="24"/>
        </w:rPr>
        <w:t xml:space="preserve">ower </w:t>
      </w:r>
      <w:r w:rsidR="004962B6">
        <w:rPr>
          <w:rFonts w:ascii="Arial" w:hAnsi="Arial" w:cs="Arial"/>
          <w:b/>
          <w:bCs/>
          <w:sz w:val="24"/>
        </w:rPr>
        <w:t>s</w:t>
      </w:r>
      <w:r w:rsidR="004962B6" w:rsidRPr="004962B6">
        <w:rPr>
          <w:rFonts w:ascii="Arial" w:hAnsi="Arial" w:cs="Arial"/>
          <w:b/>
          <w:bCs/>
          <w:sz w:val="24"/>
        </w:rPr>
        <w:t>aving</w:t>
      </w:r>
    </w:p>
    <w:p w14:paraId="1F147C23" w14:textId="18EC39ED" w:rsidR="00A209D6" w:rsidRPr="008C3A65"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C3A65" w:rsidRPr="008C3A65">
        <w:rPr>
          <w:rFonts w:ascii="Arial" w:hAnsi="Arial" w:cs="Arial"/>
          <w:b/>
          <w:bCs/>
          <w:sz w:val="24"/>
        </w:rPr>
        <w:t>NR_SL_enh</w:t>
      </w:r>
      <w:proofErr w:type="spellEnd"/>
      <w:r w:rsidR="008C3A65" w:rsidRPr="008C3A65">
        <w:rPr>
          <w:rFonts w:ascii="Arial" w:hAnsi="Arial" w:cs="Arial"/>
          <w:b/>
          <w:bCs/>
          <w:sz w:val="24"/>
        </w:rPr>
        <w:t xml:space="preserve">-Core </w:t>
      </w:r>
      <w:r>
        <w:rPr>
          <w:rFonts w:ascii="Arial" w:hAnsi="Arial" w:cs="Arial"/>
          <w:b/>
          <w:bCs/>
          <w:sz w:val="24"/>
        </w:rPr>
        <w:t xml:space="preserve">- Release </w:t>
      </w:r>
      <w:r w:rsidR="008C3A65">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DEC0587" w14:textId="55DEF40B" w:rsidR="00CF1E7C" w:rsidRPr="00CF1E7C" w:rsidRDefault="008C3A65" w:rsidP="00A209D6">
      <w:r>
        <w:t xml:space="preserve">This contribution discusses </w:t>
      </w:r>
      <w:r w:rsidR="004962B6">
        <w:t>r</w:t>
      </w:r>
      <w:r w:rsidR="004962B6" w:rsidRPr="004962B6">
        <w:t>educed monitoring of SL resource pools for power saving</w:t>
      </w:r>
      <w:r w:rsidR="00697AE1">
        <w:t xml:space="preserve"> based on </w:t>
      </w:r>
      <w:r w:rsidR="00697AE1" w:rsidRPr="0089319C">
        <w:t>ETSI TR 103</w:t>
      </w:r>
      <w:r w:rsidR="00697AE1">
        <w:t> </w:t>
      </w:r>
      <w:r w:rsidR="00697AE1" w:rsidRPr="0089319C">
        <w:t>439</w:t>
      </w:r>
      <w:r w:rsidR="00697AE1">
        <w:t xml:space="preserve"> ITS Multi-Channel Operation (MCO)</w:t>
      </w:r>
      <w:r w:rsidR="004962B6">
        <w:t>.</w:t>
      </w:r>
    </w:p>
    <w:p w14:paraId="4F547731" w14:textId="579C290B" w:rsidR="00A209D6" w:rsidRDefault="00A209D6" w:rsidP="00B7538C">
      <w:pPr>
        <w:pStyle w:val="Heading1"/>
      </w:pPr>
      <w:r w:rsidRPr="006E13D1">
        <w:t>2</w:t>
      </w:r>
      <w:r w:rsidRPr="006E13D1">
        <w:tab/>
      </w:r>
      <w:r w:rsidR="008C3A65">
        <w:t>Discussion</w:t>
      </w:r>
    </w:p>
    <w:p w14:paraId="30A986D9" w14:textId="77777777" w:rsidR="004962B6" w:rsidRDefault="004962B6" w:rsidP="004962B6">
      <w:pPr>
        <w:jc w:val="both"/>
      </w:pPr>
      <w:r>
        <w:t>Rel’16 NR SL UE can be configured with up to 8 Tx resource pools (RPs) and 16 Rx RPs [TS 38.331]. Monitoring all configured Rx RPs for SL reception is rather power consuming for SL Rx UE. Thus, reducing the need for monitoring configured Rx RPs is helpful from power saving perspective.</w:t>
      </w:r>
    </w:p>
    <w:p w14:paraId="14AC75F3" w14:textId="28BADEC5" w:rsidR="004962B6" w:rsidRDefault="004962B6" w:rsidP="004962B6">
      <w:pPr>
        <w:jc w:val="both"/>
      </w:pPr>
      <w:r w:rsidRPr="0089319C">
        <w:t>ETSI TR 103</w:t>
      </w:r>
      <w:r>
        <w:t> </w:t>
      </w:r>
      <w:r w:rsidRPr="0089319C">
        <w:t>439</w:t>
      </w:r>
      <w:r>
        <w:t xml:space="preserve"> ITS Multi-Channel Operation (MCO) Study addresses different channel usage mechanisms which are </w:t>
      </w:r>
      <w:r w:rsidRPr="0089319C">
        <w:t>classified in</w:t>
      </w:r>
      <w:r>
        <w:t>to</w:t>
      </w:r>
      <w:r w:rsidRPr="0089319C">
        <w:t xml:space="preserve"> 3 categories: sequential filling, load balancing</w:t>
      </w:r>
      <w:r w:rsidR="00A2032C">
        <w:t>,</w:t>
      </w:r>
      <w:r w:rsidRPr="0089319C">
        <w:t xml:space="preserve"> and elastic.</w:t>
      </w:r>
      <w:r>
        <w:t xml:space="preserve"> These are illustrated in the following figure, copied from </w:t>
      </w:r>
      <w:bookmarkStart w:id="1" w:name="_Hlk76452177"/>
      <w:r w:rsidRPr="0089319C">
        <w:t>ETSI TR 103</w:t>
      </w:r>
      <w:r>
        <w:t> </w:t>
      </w:r>
      <w:r w:rsidRPr="0089319C">
        <w:t>439</w:t>
      </w:r>
      <w:bookmarkEnd w:id="1"/>
      <w:r>
        <w:t>.</w:t>
      </w:r>
    </w:p>
    <w:p w14:paraId="3735BA07" w14:textId="77777777" w:rsidR="004962B6" w:rsidRDefault="004962B6" w:rsidP="004962B6">
      <w:pPr>
        <w:ind w:left="360"/>
        <w:jc w:val="both"/>
      </w:pPr>
    </w:p>
    <w:p w14:paraId="232E74B6" w14:textId="77777777" w:rsidR="004962B6" w:rsidRDefault="004962B6" w:rsidP="00B77A53">
      <w:pPr>
        <w:jc w:val="center"/>
      </w:pPr>
      <w:r>
        <w:rPr>
          <w:noProof/>
        </w:rPr>
        <w:drawing>
          <wp:inline distT="0" distB="0" distL="0" distR="0" wp14:anchorId="36BC5AB3" wp14:editId="72F051C0">
            <wp:extent cx="5036820" cy="16535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36820" cy="1653540"/>
                    </a:xfrm>
                    <a:prstGeom prst="rect">
                      <a:avLst/>
                    </a:prstGeom>
                    <a:noFill/>
                    <a:ln>
                      <a:noFill/>
                    </a:ln>
                  </pic:spPr>
                </pic:pic>
              </a:graphicData>
            </a:graphic>
          </wp:inline>
        </w:drawing>
      </w:r>
    </w:p>
    <w:p w14:paraId="48403F9C" w14:textId="77777777" w:rsidR="004962B6" w:rsidRDefault="004962B6" w:rsidP="004962B6">
      <w:pPr>
        <w:keepNext/>
        <w:tabs>
          <w:tab w:val="center" w:pos="1843"/>
          <w:tab w:val="center" w:pos="4678"/>
          <w:tab w:val="center" w:pos="7655"/>
        </w:tabs>
      </w:pPr>
      <w:r>
        <w:tab/>
        <w:t xml:space="preserve">(a) Sequential filling </w:t>
      </w:r>
      <w:r>
        <w:tab/>
        <w:t>(b) Load balancing</w:t>
      </w:r>
      <w:r>
        <w:tab/>
        <w:t>(c) Elastic</w:t>
      </w:r>
    </w:p>
    <w:p w14:paraId="63D5272D" w14:textId="54AD4533" w:rsidR="004962B6" w:rsidRPr="00B77A53" w:rsidRDefault="004962B6" w:rsidP="004962B6">
      <w:pPr>
        <w:pStyle w:val="Caption"/>
        <w:jc w:val="center"/>
        <w:rPr>
          <w:rFonts w:cs="Arial"/>
        </w:rPr>
      </w:pPr>
      <w:bookmarkStart w:id="2" w:name="_Ref52464819"/>
      <w:r>
        <w:t xml:space="preserve">Figure </w:t>
      </w:r>
      <w:r w:rsidR="000B3CB3">
        <w:fldChar w:fldCharType="begin"/>
      </w:r>
      <w:r w:rsidR="000B3CB3">
        <w:instrText xml:space="preserve"> SEQ Figure \* ARABIC </w:instrText>
      </w:r>
      <w:r w:rsidR="000B3CB3">
        <w:fldChar w:fldCharType="separate"/>
      </w:r>
      <w:r>
        <w:rPr>
          <w:noProof/>
        </w:rPr>
        <w:t>40</w:t>
      </w:r>
      <w:r w:rsidR="000B3CB3">
        <w:rPr>
          <w:noProof/>
        </w:rPr>
        <w:fldChar w:fldCharType="end"/>
      </w:r>
      <w:bookmarkEnd w:id="2"/>
      <w:r>
        <w:t xml:space="preserve">: </w:t>
      </w:r>
      <w:r>
        <w:rPr>
          <w:rFonts w:cs="Arial"/>
        </w:rPr>
        <w:t>Channel usage mechanisms for MCO</w:t>
      </w:r>
      <w:r w:rsidR="00B77A53">
        <w:rPr>
          <w:rFonts w:cs="Arial"/>
        </w:rPr>
        <w:t xml:space="preserve"> [</w:t>
      </w:r>
      <w:r w:rsidR="00B77A53" w:rsidRPr="00B77A53">
        <w:rPr>
          <w:rFonts w:cs="Arial"/>
        </w:rPr>
        <w:t>ETSI TR 103</w:t>
      </w:r>
      <w:r w:rsidR="00B77A53">
        <w:rPr>
          <w:rFonts w:cs="Arial"/>
        </w:rPr>
        <w:t> </w:t>
      </w:r>
      <w:r w:rsidR="00B77A53" w:rsidRPr="00B77A53">
        <w:rPr>
          <w:rFonts w:cs="Arial"/>
        </w:rPr>
        <w:t>439</w:t>
      </w:r>
      <w:r w:rsidR="00B77A53">
        <w:rPr>
          <w:rFonts w:cs="Arial"/>
        </w:rPr>
        <w:t>].</w:t>
      </w:r>
    </w:p>
    <w:p w14:paraId="342ACBA0" w14:textId="59D4B80A" w:rsidR="004962B6" w:rsidRDefault="004962B6" w:rsidP="00697AE1">
      <w:pPr>
        <w:jc w:val="both"/>
      </w:pPr>
      <w:r>
        <w:t xml:space="preserve">Considering that channel resources can be used for different applications and services, the above MCO mechanisms are illustrated in the following figure, copied from </w:t>
      </w:r>
      <w:r w:rsidRPr="0089319C">
        <w:t>ETSI TR 103</w:t>
      </w:r>
      <w:r>
        <w:t> </w:t>
      </w:r>
      <w:r w:rsidRPr="0089319C">
        <w:t>439</w:t>
      </w:r>
      <w:r>
        <w:t>.</w:t>
      </w:r>
    </w:p>
    <w:p w14:paraId="68D29151" w14:textId="77777777" w:rsidR="004962B6" w:rsidRDefault="004962B6" w:rsidP="004962B6">
      <w:pPr>
        <w:keepNext/>
        <w:jc w:val="center"/>
      </w:pPr>
      <w:r>
        <w:rPr>
          <w:noProof/>
        </w:rPr>
        <w:lastRenderedPageBreak/>
        <w:drawing>
          <wp:inline distT="0" distB="0" distL="0" distR="0" wp14:anchorId="087D32F5" wp14:editId="46188C63">
            <wp:extent cx="5044440" cy="1653540"/>
            <wp:effectExtent l="0" t="0" r="381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4440" cy="1653540"/>
                    </a:xfrm>
                    <a:prstGeom prst="rect">
                      <a:avLst/>
                    </a:prstGeom>
                    <a:noFill/>
                    <a:ln>
                      <a:noFill/>
                    </a:ln>
                  </pic:spPr>
                </pic:pic>
              </a:graphicData>
            </a:graphic>
          </wp:inline>
        </w:drawing>
      </w:r>
    </w:p>
    <w:p w14:paraId="711DB93F" w14:textId="77777777" w:rsidR="004962B6" w:rsidRDefault="004962B6" w:rsidP="004962B6">
      <w:pPr>
        <w:keepNext/>
        <w:tabs>
          <w:tab w:val="center" w:pos="1843"/>
          <w:tab w:val="center" w:pos="4678"/>
          <w:tab w:val="center" w:pos="7655"/>
        </w:tabs>
      </w:pPr>
      <w:r>
        <w:tab/>
        <w:t xml:space="preserve">(a) Sequential filling </w:t>
      </w:r>
      <w:r>
        <w:tab/>
        <w:t>(b) Load balancing</w:t>
      </w:r>
      <w:r>
        <w:tab/>
        <w:t>(c) Elastic</w:t>
      </w:r>
    </w:p>
    <w:p w14:paraId="1C58AA83" w14:textId="649C57A5" w:rsidR="004962B6" w:rsidRDefault="004962B6" w:rsidP="004962B6">
      <w:pPr>
        <w:pStyle w:val="Caption"/>
        <w:jc w:val="center"/>
      </w:pPr>
      <w:bookmarkStart w:id="3" w:name="_Ref52468753"/>
      <w:r>
        <w:t xml:space="preserve">Figure </w:t>
      </w:r>
      <w:r w:rsidR="000B3CB3">
        <w:fldChar w:fldCharType="begin"/>
      </w:r>
      <w:r w:rsidR="000B3CB3">
        <w:instrText xml:space="preserve"> SEQ Figure \* ARABIC </w:instrText>
      </w:r>
      <w:r w:rsidR="000B3CB3">
        <w:fldChar w:fldCharType="separate"/>
      </w:r>
      <w:r>
        <w:rPr>
          <w:noProof/>
        </w:rPr>
        <w:t>42</w:t>
      </w:r>
      <w:r w:rsidR="000B3CB3">
        <w:rPr>
          <w:noProof/>
        </w:rPr>
        <w:fldChar w:fldCharType="end"/>
      </w:r>
      <w:bookmarkEnd w:id="3"/>
      <w:r>
        <w:t xml:space="preserve">: MCO mechanisms based on </w:t>
      </w:r>
      <w:r>
        <w:rPr>
          <w:i/>
          <w:iCs/>
        </w:rPr>
        <w:t>flexible</w:t>
      </w:r>
      <w:r>
        <w:t xml:space="preserve"> application-channel association</w:t>
      </w:r>
      <w:r w:rsidR="00B77A53">
        <w:t xml:space="preserve"> [</w:t>
      </w:r>
      <w:r w:rsidR="00B77A53" w:rsidRPr="0089319C">
        <w:t>ETSI TR 103</w:t>
      </w:r>
      <w:r w:rsidR="00B77A53">
        <w:t> </w:t>
      </w:r>
      <w:r w:rsidR="00B77A53" w:rsidRPr="0089319C">
        <w:t>439</w:t>
      </w:r>
      <w:r w:rsidR="00B77A53">
        <w:t>]</w:t>
      </w:r>
      <w:r>
        <w:t>.</w:t>
      </w:r>
    </w:p>
    <w:p w14:paraId="015F64D0" w14:textId="77777777" w:rsidR="00697AE1" w:rsidRDefault="004962B6" w:rsidP="00697AE1">
      <w:pPr>
        <w:jc w:val="both"/>
      </w:pPr>
      <w:r w:rsidRPr="00BB0E7C">
        <w:t>The mechanism of sequential filling organizes the channels in a predefined order and a given channel is not used until the prior order channels are not loaded enough.</w:t>
      </w:r>
      <w:r>
        <w:t xml:space="preserve"> Thus, in principle, both Tx UE and Rx UE may be able to determine whether to use a channel for their need, either transmission or reception for a targeted service, based on whether load of the channel is under a threshold configured for the use of the channel for the targeted service or not. This therefore allows Rx UE to avoid unnecessary monitoring of those channels in which transmission for the intended service is not taking place, resulting in power saving.</w:t>
      </w:r>
      <w:r w:rsidRPr="00A871DE">
        <w:t xml:space="preserve"> </w:t>
      </w:r>
    </w:p>
    <w:p w14:paraId="0FC93905" w14:textId="77777777" w:rsidR="00697AE1" w:rsidRDefault="004962B6" w:rsidP="00697AE1">
      <w:pPr>
        <w:jc w:val="both"/>
      </w:pPr>
      <w:r>
        <w:t xml:space="preserve">The channel in </w:t>
      </w:r>
      <w:r w:rsidRPr="0089319C">
        <w:t>ETSI TR 103</w:t>
      </w:r>
      <w:r>
        <w:t> </w:t>
      </w:r>
      <w:r w:rsidRPr="0089319C">
        <w:t>439</w:t>
      </w:r>
      <w:r>
        <w:t xml:space="preserve"> above is equivalent to the</w:t>
      </w:r>
      <w:r w:rsidRPr="002D590F">
        <w:t xml:space="preserve"> </w:t>
      </w:r>
      <w:r>
        <w:t xml:space="preserve">RP and the channel load is equivalent to CBR. There may be misalignment between Tx UE and Rx UE in determining the use of a RP in the </w:t>
      </w:r>
      <w:r w:rsidRPr="00BB0E7C">
        <w:t>sequential</w:t>
      </w:r>
      <w:r>
        <w:t>-</w:t>
      </w:r>
      <w:r w:rsidRPr="00BB0E7C">
        <w:t xml:space="preserve">filling </w:t>
      </w:r>
      <w:r>
        <w:t>operation, as Tx UE and Rx UE may be in different locations and therefore may see the same channel or RP in different loads or CBRs. This misalignment can cause either data loss or waste of energy at Rx UE in monitoring misaligned channel(s). However, this issue may be left for UE implementation to resolve at Rx UE.</w:t>
      </w:r>
    </w:p>
    <w:p w14:paraId="26BE1106" w14:textId="77777777" w:rsidR="00697AE1" w:rsidRDefault="004962B6" w:rsidP="00697AE1">
      <w:pPr>
        <w:spacing w:after="0"/>
        <w:jc w:val="both"/>
      </w:pPr>
      <w:r w:rsidRPr="0055124C">
        <w:rPr>
          <w:b/>
          <w:bCs/>
        </w:rPr>
        <w:t>Proposal 1:</w:t>
      </w:r>
      <w:r>
        <w:t xml:space="preserve"> </w:t>
      </w:r>
      <w:r w:rsidRPr="005E4947">
        <w:t>RAN</w:t>
      </w:r>
      <w:r>
        <w:t>1</w:t>
      </w:r>
      <w:r w:rsidRPr="005E4947">
        <w:t xml:space="preserve"> to adopt the mechanism of sequential filling over multiple resource pools </w:t>
      </w:r>
      <w:r>
        <w:t xml:space="preserve">(RPs) which are </w:t>
      </w:r>
      <w:r w:rsidRPr="005E4947">
        <w:t>configured for SL transmission and reception of a targeted service for power saving</w:t>
      </w:r>
      <w:r>
        <w:t xml:space="preserve"> at both Tx UE and Rx UE:</w:t>
      </w:r>
    </w:p>
    <w:p w14:paraId="03F5BF7F" w14:textId="76A3231B" w:rsidR="004962B6" w:rsidRPr="00697AE1" w:rsidRDefault="004962B6" w:rsidP="00697AE1">
      <w:pPr>
        <w:pStyle w:val="ListParagraph"/>
        <w:numPr>
          <w:ilvl w:val="0"/>
          <w:numId w:val="9"/>
        </w:numPr>
        <w:jc w:val="both"/>
        <w:rPr>
          <w:rFonts w:ascii="Times New Roman" w:hAnsi="Times New Roman"/>
          <w:sz w:val="20"/>
        </w:rPr>
      </w:pPr>
      <w:r w:rsidRPr="00697AE1">
        <w:rPr>
          <w:rFonts w:ascii="Times New Roman" w:hAnsi="Times New Roman"/>
          <w:sz w:val="20"/>
        </w:rPr>
        <w:t>Tx UE is configured with CBR thresholds for using configured RPs in sequential order for SL transmissions;</w:t>
      </w:r>
      <w:r w:rsidR="00697AE1">
        <w:rPr>
          <w:rFonts w:ascii="Times New Roman" w:hAnsi="Times New Roman"/>
          <w:sz w:val="20"/>
        </w:rPr>
        <w:t xml:space="preserve"> and</w:t>
      </w:r>
    </w:p>
    <w:p w14:paraId="05C020F0" w14:textId="77777777" w:rsidR="004962B6" w:rsidRPr="00697AE1" w:rsidRDefault="004962B6" w:rsidP="00697AE1">
      <w:pPr>
        <w:pStyle w:val="ListParagraph"/>
        <w:numPr>
          <w:ilvl w:val="0"/>
          <w:numId w:val="9"/>
        </w:numPr>
        <w:jc w:val="both"/>
        <w:rPr>
          <w:rFonts w:ascii="Times New Roman" w:hAnsi="Times New Roman"/>
          <w:sz w:val="20"/>
        </w:rPr>
      </w:pPr>
      <w:r w:rsidRPr="00697AE1">
        <w:rPr>
          <w:rFonts w:ascii="Times New Roman" w:hAnsi="Times New Roman"/>
          <w:sz w:val="20"/>
        </w:rPr>
        <w:t>The operation of sequential filling over multiple configured RPs for SL reception at Rx UE is left for UE implementation.</w:t>
      </w:r>
    </w:p>
    <w:p w14:paraId="5FF2457F" w14:textId="11A84A2C" w:rsidR="00A209D6" w:rsidRPr="006E13D1" w:rsidRDefault="00A209D6" w:rsidP="00A209D6">
      <w:pPr>
        <w:pStyle w:val="Heading1"/>
      </w:pPr>
      <w:r w:rsidRPr="006E13D1">
        <w:t>4</w:t>
      </w:r>
      <w:r w:rsidRPr="006E13D1">
        <w:tab/>
      </w:r>
      <w:r w:rsidR="008C3057">
        <w:t>Conclusion</w:t>
      </w:r>
    </w:p>
    <w:p w14:paraId="7B7240A4" w14:textId="5A042408" w:rsidR="004F73A7" w:rsidRPr="006E13D1" w:rsidRDefault="004F73A7" w:rsidP="00A209D6">
      <w:r>
        <w:t>This</w:t>
      </w:r>
      <w:r w:rsidR="00F15249">
        <w:t xml:space="preserve"> contribution </w:t>
      </w:r>
      <w:r>
        <w:t>has made</w:t>
      </w:r>
      <w:r w:rsidR="004F4540">
        <w:t xml:space="preserve"> the following </w:t>
      </w:r>
      <w:r w:rsidR="00F15249">
        <w:t>proposals</w:t>
      </w:r>
      <w:r w:rsidR="004F4540">
        <w:t>:</w:t>
      </w:r>
    </w:p>
    <w:p w14:paraId="042A35C2" w14:textId="77777777" w:rsidR="00CE1E48" w:rsidRDefault="00CE1E48" w:rsidP="00CE1E48">
      <w:pPr>
        <w:spacing w:after="0"/>
        <w:jc w:val="both"/>
      </w:pPr>
      <w:r w:rsidRPr="0055124C">
        <w:rPr>
          <w:b/>
          <w:bCs/>
        </w:rPr>
        <w:t>Proposal 1:</w:t>
      </w:r>
      <w:r>
        <w:t xml:space="preserve"> </w:t>
      </w:r>
      <w:r w:rsidRPr="005E4947">
        <w:t>RAN</w:t>
      </w:r>
      <w:r>
        <w:t>1</w:t>
      </w:r>
      <w:r w:rsidRPr="005E4947">
        <w:t xml:space="preserve"> to adopt the mechanism of sequential filling over multiple resource pools </w:t>
      </w:r>
      <w:r>
        <w:t xml:space="preserve">(RPs) which are </w:t>
      </w:r>
      <w:r w:rsidRPr="005E4947">
        <w:t>configured for SL transmission and reception of a targeted service for power saving</w:t>
      </w:r>
      <w:r>
        <w:t xml:space="preserve"> at both Tx UE and Rx UE:</w:t>
      </w:r>
    </w:p>
    <w:p w14:paraId="2F295ACD" w14:textId="77777777" w:rsidR="00CE1E48" w:rsidRDefault="00CE1E48" w:rsidP="00CE1E48">
      <w:pPr>
        <w:pStyle w:val="ListParagraph"/>
        <w:numPr>
          <w:ilvl w:val="0"/>
          <w:numId w:val="9"/>
        </w:numPr>
        <w:jc w:val="both"/>
        <w:rPr>
          <w:rFonts w:ascii="Times New Roman" w:hAnsi="Times New Roman"/>
          <w:sz w:val="20"/>
        </w:rPr>
      </w:pPr>
      <w:r w:rsidRPr="00697AE1">
        <w:rPr>
          <w:rFonts w:ascii="Times New Roman" w:hAnsi="Times New Roman"/>
          <w:sz w:val="20"/>
        </w:rPr>
        <w:t>Tx UE is configured with CBR thresholds for using configured RPs in sequential order for SL transmissions;</w:t>
      </w:r>
      <w:r>
        <w:rPr>
          <w:rFonts w:ascii="Times New Roman" w:hAnsi="Times New Roman"/>
          <w:sz w:val="20"/>
        </w:rPr>
        <w:t xml:space="preserve"> and</w:t>
      </w:r>
    </w:p>
    <w:p w14:paraId="35F222F4" w14:textId="51BF338C" w:rsidR="00080512" w:rsidRPr="00CE1E48" w:rsidRDefault="00CE1E48" w:rsidP="00CE1E48">
      <w:pPr>
        <w:pStyle w:val="ListParagraph"/>
        <w:numPr>
          <w:ilvl w:val="0"/>
          <w:numId w:val="9"/>
        </w:numPr>
        <w:jc w:val="both"/>
        <w:rPr>
          <w:rFonts w:ascii="Times New Roman" w:hAnsi="Times New Roman"/>
          <w:sz w:val="20"/>
        </w:rPr>
      </w:pPr>
      <w:r w:rsidRPr="00CE1E48">
        <w:rPr>
          <w:rFonts w:ascii="Times New Roman" w:hAnsi="Times New Roman"/>
          <w:sz w:val="20"/>
        </w:rPr>
        <w:t>The operation of sequential filling over multiple configured RPs for SL reception at Rx UE is left for UE implementation.</w:t>
      </w:r>
    </w:p>
    <w:sectPr w:rsidR="00080512" w:rsidRPr="00CE1E4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C55F0C"/>
    <w:multiLevelType w:val="hybridMultilevel"/>
    <w:tmpl w:val="708ADF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9575DC6"/>
    <w:multiLevelType w:val="hybridMultilevel"/>
    <w:tmpl w:val="EBC80C26"/>
    <w:lvl w:ilvl="0" w:tplc="812274A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7B8"/>
    <w:rsid w:val="00016557"/>
    <w:rsid w:val="00023C40"/>
    <w:rsid w:val="00033397"/>
    <w:rsid w:val="0003601C"/>
    <w:rsid w:val="00040095"/>
    <w:rsid w:val="00065268"/>
    <w:rsid w:val="00073C9C"/>
    <w:rsid w:val="00080512"/>
    <w:rsid w:val="00090468"/>
    <w:rsid w:val="00094568"/>
    <w:rsid w:val="000B3CB3"/>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962B6"/>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611566"/>
    <w:rsid w:val="00646D99"/>
    <w:rsid w:val="00656910"/>
    <w:rsid w:val="006574C0"/>
    <w:rsid w:val="00696821"/>
    <w:rsid w:val="00697AE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607A8"/>
    <w:rsid w:val="0086354A"/>
    <w:rsid w:val="008768CA"/>
    <w:rsid w:val="00877EF9"/>
    <w:rsid w:val="00880559"/>
    <w:rsid w:val="008B5306"/>
    <w:rsid w:val="008C0CD8"/>
    <w:rsid w:val="008C2E2A"/>
    <w:rsid w:val="008C3057"/>
    <w:rsid w:val="008C3A65"/>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32C"/>
    <w:rsid w:val="00A204CA"/>
    <w:rsid w:val="00A209D6"/>
    <w:rsid w:val="00A22738"/>
    <w:rsid w:val="00A24873"/>
    <w:rsid w:val="00A430EC"/>
    <w:rsid w:val="00A53724"/>
    <w:rsid w:val="00A54B2B"/>
    <w:rsid w:val="00A82346"/>
    <w:rsid w:val="00A9671C"/>
    <w:rsid w:val="00AA1553"/>
    <w:rsid w:val="00B05380"/>
    <w:rsid w:val="00B05962"/>
    <w:rsid w:val="00B15449"/>
    <w:rsid w:val="00B16C2F"/>
    <w:rsid w:val="00B27303"/>
    <w:rsid w:val="00B47FD1"/>
    <w:rsid w:val="00B516BB"/>
    <w:rsid w:val="00B64A4C"/>
    <w:rsid w:val="00B7538C"/>
    <w:rsid w:val="00B77A53"/>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CE1E48"/>
    <w:rsid w:val="00CF1E7C"/>
    <w:rsid w:val="00D33BE3"/>
    <w:rsid w:val="00D35BD6"/>
    <w:rsid w:val="00D3792D"/>
    <w:rsid w:val="00D55E47"/>
    <w:rsid w:val="00D62E19"/>
    <w:rsid w:val="00D67CD1"/>
    <w:rsid w:val="00D738D6"/>
    <w:rsid w:val="00D80795"/>
    <w:rsid w:val="00D854BE"/>
    <w:rsid w:val="00D87E00"/>
    <w:rsid w:val="00D9134D"/>
    <w:rsid w:val="00D96D11"/>
    <w:rsid w:val="00DA4095"/>
    <w:rsid w:val="00DA7A03"/>
    <w:rsid w:val="00DB0DB8"/>
    <w:rsid w:val="00DB1818"/>
    <w:rsid w:val="00DC309B"/>
    <w:rsid w:val="00DC4DA2"/>
    <w:rsid w:val="00DC5261"/>
    <w:rsid w:val="00DD3EB9"/>
    <w:rsid w:val="00DE25D2"/>
    <w:rsid w:val="00E33B25"/>
    <w:rsid w:val="00E46C08"/>
    <w:rsid w:val="00E471CF"/>
    <w:rsid w:val="00E62835"/>
    <w:rsid w:val="00E77645"/>
    <w:rsid w:val="00E83697"/>
    <w:rsid w:val="00E859B6"/>
    <w:rsid w:val="00EA66C9"/>
    <w:rsid w:val="00EC4A25"/>
    <w:rsid w:val="00EF612C"/>
    <w:rsid w:val="00F025A2"/>
    <w:rsid w:val="00F036E9"/>
    <w:rsid w:val="00F07388"/>
    <w:rsid w:val="00F15249"/>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CaptionChar1">
    <w:name w:val="Caption Char1"/>
    <w:aliases w:val="ECC Caption Char,Ca Char,Caption Char Char,Caption Char1 Char Char,Caption Char Char Char Char,cap Char Char Char Char,cap Char Char,cap Char1"/>
    <w:basedOn w:val="DefaultParagraphFont"/>
    <w:link w:val="Caption"/>
    <w:uiPriority w:val="99"/>
    <w:semiHidden/>
    <w:locked/>
    <w:rsid w:val="004962B6"/>
    <w:rPr>
      <w:b/>
      <w:bCs/>
    </w:rPr>
  </w:style>
  <w:style w:type="paragraph" w:styleId="Caption">
    <w:name w:val="caption"/>
    <w:aliases w:val="ECC Caption,Ca,Caption Char,Caption Char1 Char,Caption Char Char Char,cap Char Char Char,cap Char,cap"/>
    <w:basedOn w:val="Normal"/>
    <w:next w:val="Normal"/>
    <w:link w:val="CaptionChar1"/>
    <w:uiPriority w:val="99"/>
    <w:semiHidden/>
    <w:unhideWhenUsed/>
    <w:qFormat/>
    <w:rsid w:val="004962B6"/>
    <w:pPr>
      <w:overflowPunct w:val="0"/>
      <w:autoSpaceDE w:val="0"/>
      <w:autoSpaceDN w:val="0"/>
      <w:adjustRightInd w:val="0"/>
      <w:spacing w:before="120" w:after="120"/>
    </w:pPr>
    <w:rPr>
      <w:b/>
      <w:bCs/>
      <w:lang w:eastAsia="en-GB"/>
    </w:rPr>
  </w:style>
  <w:style w:type="paragraph" w:styleId="ListParagraph">
    <w:name w:val="List Paragraph"/>
    <w:basedOn w:val="Normal"/>
    <w:uiPriority w:val="34"/>
    <w:qFormat/>
    <w:rsid w:val="004962B6"/>
    <w:pPr>
      <w:spacing w:after="0"/>
      <w:ind w:left="720"/>
      <w:contextualSpacing/>
    </w:pPr>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5AIRPNAIUNRU-859666464-9238</_dlc_DocId>
    <_dlc_DocIdUrl xmlns="71c5aaf6-e6ce-465b-b873-5148d2a4c105">
      <Url>https://nokia.sharepoint.com/sites/c5g/e2earch/_layouts/15/DocIdRedir.aspx?ID=5AIRPNAIUNRU-859666464-9238</Url>
      <Description>5AIRPNAIUNRU-859666464-9238</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592</Words>
  <Characters>3046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3631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jakob.buthler</cp:lastModifiedBy>
  <cp:revision>6</cp:revision>
  <dcterms:created xsi:type="dcterms:W3CDTF">2021-07-06T05:41:00Z</dcterms:created>
  <dcterms:modified xsi:type="dcterms:W3CDTF">2021-08-05T22:12:00Z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407af007-582d-4bfe-bd07-e5b6bff9236d</vt:lpwstr>
  </property>
</Properties>
</file>